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90E" w:rsidRDefault="002E0424">
      <w:r w:rsidRPr="002E0424">
        <w:rPr>
          <w:noProof/>
        </w:rPr>
        <w:drawing>
          <wp:anchor distT="0" distB="0" distL="114300" distR="114300" simplePos="0" relativeHeight="251658240" behindDoc="0" locked="0" layoutInCell="1" allowOverlap="1">
            <wp:simplePos x="0" y="0"/>
            <wp:positionH relativeFrom="column">
              <wp:posOffset>27940</wp:posOffset>
            </wp:positionH>
            <wp:positionV relativeFrom="paragraph">
              <wp:posOffset>0</wp:posOffset>
            </wp:positionV>
            <wp:extent cx="5484149" cy="4190035"/>
            <wp:effectExtent l="25400" t="0" r="2251" b="0"/>
            <wp:wrapSquare wrapText="bothSides"/>
            <wp:docPr id="1" name="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41371" cy="7060206"/>
                      <a:chOff x="-21771" y="13741"/>
                      <a:chExt cx="9241371" cy="7060206"/>
                    </a:xfrm>
                  </a:grpSpPr>
                  <a:sp>
                    <a:nvSpPr>
                      <a:cNvPr id="12" name="Rectangle 11"/>
                      <a:cNvSpPr/>
                    </a:nvSpPr>
                    <a:spPr>
                      <a:xfrm>
                        <a:off x="-21771" y="13741"/>
                        <a:ext cx="9241371" cy="7060206"/>
                      </a:xfrm>
                      <a:prstGeom prst="rect">
                        <a:avLst/>
                      </a:prstGeom>
                      <a:solidFill>
                        <a:srgbClr val="000000"/>
                      </a:solidFill>
                    </a:spPr>
                    <a:txSp>
                      <a:txBody>
                        <a:bodyPr rtlCol="0" anchor="ctr"/>
                        <a:lstStyle>
                          <a:defPPr>
                            <a:defRPr lang="en-US"/>
                          </a:defPPr>
                          <a:lvl1pPr marL="0" algn="l" defTabSz="457200" rtl="0" eaLnBrk="1" latinLnBrk="0" hangingPunct="1">
                            <a:defRPr sz="1800" kern="1200">
                              <a:solidFill>
                                <a:schemeClr val="lt1"/>
                              </a:solidFill>
                              <a:latin typeface="+mn-lt"/>
                              <a:ea typeface="+mn-ea"/>
                              <a:cs typeface="+mn-cs"/>
                            </a:defRPr>
                          </a:lvl1pPr>
                          <a:lvl2pPr marL="457200" algn="l" defTabSz="457200" rtl="0" eaLnBrk="1" latinLnBrk="0" hangingPunct="1">
                            <a:defRPr sz="1800" kern="1200">
                              <a:solidFill>
                                <a:schemeClr val="lt1"/>
                              </a:solidFill>
                              <a:latin typeface="+mn-lt"/>
                              <a:ea typeface="+mn-ea"/>
                              <a:cs typeface="+mn-cs"/>
                            </a:defRPr>
                          </a:lvl2pPr>
                          <a:lvl3pPr marL="914400" algn="l" defTabSz="457200" rtl="0" eaLnBrk="1" latinLnBrk="0" hangingPunct="1">
                            <a:defRPr sz="1800" kern="1200">
                              <a:solidFill>
                                <a:schemeClr val="lt1"/>
                              </a:solidFill>
                              <a:latin typeface="+mn-lt"/>
                              <a:ea typeface="+mn-ea"/>
                              <a:cs typeface="+mn-cs"/>
                            </a:defRPr>
                          </a:lvl3pPr>
                          <a:lvl4pPr marL="1371600" algn="l" defTabSz="457200" rtl="0" eaLnBrk="1" latinLnBrk="0" hangingPunct="1">
                            <a:defRPr sz="1800" kern="1200">
                              <a:solidFill>
                                <a:schemeClr val="lt1"/>
                              </a:solidFill>
                              <a:latin typeface="+mn-lt"/>
                              <a:ea typeface="+mn-ea"/>
                              <a:cs typeface="+mn-cs"/>
                            </a:defRPr>
                          </a:lvl4pPr>
                          <a:lvl5pPr marL="1828800" algn="l" defTabSz="457200" rtl="0" eaLnBrk="1" latinLnBrk="0" hangingPunct="1">
                            <a:defRPr sz="1800" kern="1200">
                              <a:solidFill>
                                <a:schemeClr val="lt1"/>
                              </a:solidFill>
                              <a:latin typeface="+mn-lt"/>
                              <a:ea typeface="+mn-ea"/>
                              <a:cs typeface="+mn-cs"/>
                            </a:defRPr>
                          </a:lvl5pPr>
                          <a:lvl6pPr marL="2286000" algn="l" defTabSz="457200" rtl="0" eaLnBrk="1" latinLnBrk="0" hangingPunct="1">
                            <a:defRPr sz="1800" kern="1200">
                              <a:solidFill>
                                <a:schemeClr val="lt1"/>
                              </a:solidFill>
                              <a:latin typeface="+mn-lt"/>
                              <a:ea typeface="+mn-ea"/>
                              <a:cs typeface="+mn-cs"/>
                            </a:defRPr>
                          </a:lvl6pPr>
                          <a:lvl7pPr marL="2743200" algn="l" defTabSz="457200" rtl="0" eaLnBrk="1" latinLnBrk="0" hangingPunct="1">
                            <a:defRPr sz="1800" kern="1200">
                              <a:solidFill>
                                <a:schemeClr val="lt1"/>
                              </a:solidFill>
                              <a:latin typeface="+mn-lt"/>
                              <a:ea typeface="+mn-ea"/>
                              <a:cs typeface="+mn-cs"/>
                            </a:defRPr>
                          </a:lvl7pPr>
                          <a:lvl8pPr marL="3200400" algn="l" defTabSz="457200" rtl="0" eaLnBrk="1" latinLnBrk="0" hangingPunct="1">
                            <a:defRPr sz="1800" kern="1200">
                              <a:solidFill>
                                <a:schemeClr val="lt1"/>
                              </a:solidFill>
                              <a:latin typeface="+mn-lt"/>
                              <a:ea typeface="+mn-ea"/>
                              <a:cs typeface="+mn-cs"/>
                            </a:defRPr>
                          </a:lvl8pPr>
                          <a:lvl9pPr marL="3657600" algn="l" defTabSz="457200" rtl="0" eaLnBrk="1" latinLnBrk="0" hangingPunct="1">
                            <a:defRPr sz="1800" kern="1200">
                              <a:solidFill>
                                <a:schemeClr val="lt1"/>
                              </a:solidFill>
                              <a:latin typeface="+mn-lt"/>
                              <a:ea typeface="+mn-ea"/>
                              <a:cs typeface="+mn-cs"/>
                            </a:defRPr>
                          </a:lvl9pPr>
                        </a:lstStyle>
                        <a:p>
                          <a:endParaRPr lang="en-US" b="1" dirty="0" smtClean="0">
                            <a:solidFill>
                              <a:srgbClr val="4F4D52"/>
                            </a:solidFill>
                            <a:latin typeface="Times New Roman"/>
                            <a:cs typeface="Times New Roman"/>
                          </a:endParaRPr>
                        </a:p>
                      </a:txBody>
                      <a:useSpRect/>
                    </a:txSp>
                    <a:style>
                      <a:lnRef idx="1">
                        <a:schemeClr val="accent1"/>
                      </a:lnRef>
                      <a:fillRef idx="3">
                        <a:schemeClr val="accent1"/>
                      </a:fillRef>
                      <a:effectRef idx="2">
                        <a:schemeClr val="accent1"/>
                      </a:effectRef>
                      <a:fontRef idx="minor">
                        <a:schemeClr val="lt1"/>
                      </a:fontRef>
                    </a:style>
                  </a:sp>
                  <a:sp>
                    <a:nvSpPr>
                      <a:cNvPr id="15" name="TextBox 14"/>
                      <a:cNvSpPr txBox="1"/>
                    </a:nvSpPr>
                    <a:spPr>
                      <a:xfrm>
                        <a:off x="362887" y="1852683"/>
                        <a:ext cx="8361525" cy="2708434"/>
                      </a:xfrm>
                      <a:prstGeom prst="rect">
                        <a:avLst/>
                      </a:prstGeom>
                      <a:noFill/>
                    </a:spPr>
                    <a:txSp>
                      <a:txBody>
                        <a:bodyPr wrap="square" rtlCol="0">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4000" b="1" dirty="0" smtClean="0">
                              <a:solidFill>
                                <a:srgbClr val="FF0000"/>
                              </a:solidFill>
                              <a:latin typeface="Times New Roman"/>
                              <a:cs typeface="Times New Roman"/>
                            </a:rPr>
                            <a:t>B</a:t>
                          </a:r>
                          <a:r>
                            <a:rPr lang="en-US" sz="4000" b="1" dirty="0" smtClean="0">
                              <a:solidFill>
                                <a:srgbClr val="595959"/>
                              </a:solidFill>
                              <a:latin typeface="Times New Roman"/>
                              <a:cs typeface="Times New Roman"/>
                            </a:rPr>
                            <a:t>ANGING </a:t>
                          </a:r>
                          <a:r>
                            <a:rPr lang="en-US" sz="4000" b="1" dirty="0" smtClean="0">
                              <a:solidFill>
                                <a:srgbClr val="FF0000"/>
                              </a:solidFill>
                              <a:latin typeface="Times New Roman"/>
                              <a:cs typeface="Times New Roman"/>
                            </a:rPr>
                            <a:t>B</a:t>
                          </a:r>
                          <a:r>
                            <a:rPr lang="en-US" sz="4000" b="1" dirty="0" smtClean="0">
                              <a:solidFill>
                                <a:srgbClr val="595959"/>
                              </a:solidFill>
                              <a:latin typeface="Times New Roman"/>
                              <a:cs typeface="Times New Roman"/>
                            </a:rPr>
                            <a:t>ODY </a:t>
                          </a:r>
                          <a:r>
                            <a:rPr lang="en-US" sz="4000" b="1" dirty="0" smtClean="0">
                              <a:solidFill>
                                <a:srgbClr val="FF0000"/>
                              </a:solidFill>
                              <a:latin typeface="Times New Roman"/>
                              <a:cs typeface="Times New Roman"/>
                            </a:rPr>
                            <a:t>F</a:t>
                          </a:r>
                          <a:r>
                            <a:rPr lang="en-US" sz="4000" b="1" dirty="0" smtClean="0">
                              <a:solidFill>
                                <a:srgbClr val="595959"/>
                              </a:solidFill>
                              <a:latin typeface="Times New Roman"/>
                              <a:cs typeface="Times New Roman"/>
                            </a:rPr>
                            <a:t>ITNESS </a:t>
                          </a:r>
                        </a:p>
                        <a:p>
                          <a:pPr algn="just"/>
                          <a:endParaRPr lang="en-US" sz="2000" b="1" dirty="0" smtClean="0">
                            <a:solidFill>
                              <a:srgbClr val="595959"/>
                            </a:solidFill>
                            <a:latin typeface="Times New Roman"/>
                            <a:cs typeface="Times New Roman"/>
                          </a:endParaRPr>
                        </a:p>
                        <a:p>
                          <a:pPr algn="just"/>
                          <a:endParaRPr lang="en-US" sz="2000" b="1" dirty="0" smtClean="0">
                            <a:solidFill>
                              <a:srgbClr val="595959"/>
                            </a:solidFill>
                            <a:latin typeface="Times New Roman"/>
                            <a:cs typeface="Times New Roman"/>
                          </a:endParaRPr>
                        </a:p>
                        <a:p>
                          <a:pPr algn="ctr"/>
                          <a:r>
                            <a:rPr lang="en-US" dirty="0" smtClean="0">
                              <a:solidFill>
                                <a:srgbClr val="7F7F7F"/>
                              </a:solidFill>
                            </a:rPr>
                            <a:t>A</a:t>
                          </a:r>
                          <a:r>
                            <a:rPr lang="en-US" dirty="0" smtClean="0">
                              <a:solidFill>
                                <a:srgbClr val="7F7F7F"/>
                              </a:solidFill>
                            </a:rPr>
                            <a:t> fitness </a:t>
                          </a:r>
                          <a:r>
                            <a:rPr lang="en-US" dirty="0" smtClean="0">
                              <a:solidFill>
                                <a:srgbClr val="7F7F7F"/>
                              </a:solidFill>
                            </a:rPr>
                            <a:t>Campaigning Company aspired to transforming New York City into the number one city in the world known for housing the most physically fit  people.   Through</a:t>
                          </a:r>
                          <a:r>
                            <a:rPr lang="en-US" dirty="0" smtClean="0">
                              <a:solidFill>
                                <a:srgbClr val="7F7F7F"/>
                              </a:solidFill>
                            </a:rPr>
                            <a:t> </a:t>
                          </a:r>
                          <a:r>
                            <a:rPr lang="en-US" dirty="0" smtClean="0">
                              <a:solidFill>
                                <a:srgbClr val="7F7F7F"/>
                              </a:solidFill>
                            </a:rPr>
                            <a:t>hosting incredibly unique and fun</a:t>
                          </a:r>
                          <a:r>
                            <a:rPr lang="en-US" dirty="0" smtClean="0">
                              <a:solidFill>
                                <a:srgbClr val="7F7F7F"/>
                              </a:solidFill>
                            </a:rPr>
                            <a:t> </a:t>
                          </a:r>
                          <a:r>
                            <a:rPr lang="en-US" dirty="0" smtClean="0">
                              <a:solidFill>
                                <a:srgbClr val="7F7F7F"/>
                              </a:solidFill>
                            </a:rPr>
                            <a:t>fitness</a:t>
                          </a:r>
                          <a:r>
                            <a:rPr lang="en-US" dirty="0" smtClean="0">
                              <a:solidFill>
                                <a:srgbClr val="7F7F7F"/>
                              </a:solidFill>
                            </a:rPr>
                            <a:t> movements and Campaigns, </a:t>
                          </a:r>
                          <a:r>
                            <a:rPr lang="en-US" dirty="0" smtClean="0">
                              <a:solidFill>
                                <a:srgbClr val="7F7F7F"/>
                              </a:solidFill>
                            </a:rPr>
                            <a:t>we aim to inspire people</a:t>
                          </a:r>
                          <a:r>
                            <a:rPr lang="en-US" dirty="0" smtClean="0">
                              <a:solidFill>
                                <a:srgbClr val="7F7F7F"/>
                              </a:solidFill>
                            </a:rPr>
                            <a:t> </a:t>
                          </a:r>
                          <a:r>
                            <a:rPr lang="en-US" dirty="0" smtClean="0">
                              <a:solidFill>
                                <a:srgbClr val="7F7F7F"/>
                              </a:solidFill>
                            </a:rPr>
                            <a:t>to not only </a:t>
                          </a:r>
                          <a:r>
                            <a:rPr lang="en-US" dirty="0" smtClean="0">
                              <a:solidFill>
                                <a:srgbClr val="7F7F7F"/>
                              </a:solidFill>
                            </a:rPr>
                            <a:t>take </a:t>
                          </a:r>
                          <a:r>
                            <a:rPr lang="en-US" dirty="0" smtClean="0">
                              <a:solidFill>
                                <a:srgbClr val="7F7F7F"/>
                              </a:solidFill>
                            </a:rPr>
                            <a:t>control of their health and fitness </a:t>
                          </a:r>
                          <a:r>
                            <a:rPr lang="en-US" dirty="0" smtClean="0">
                              <a:solidFill>
                                <a:srgbClr val="7F7F7F"/>
                              </a:solidFill>
                            </a:rPr>
                            <a:t>lives, but to continue having fun as they </a:t>
                          </a:r>
                          <a:r>
                            <a:rPr lang="en-US" dirty="0" smtClean="0">
                              <a:solidFill>
                                <a:srgbClr val="7F7F7F"/>
                              </a:solidFill>
                            </a:rPr>
                            <a:t>reach their maximum physical potentials. </a:t>
                          </a:r>
                          <a:endParaRPr lang="en-US" dirty="0">
                            <a:solidFill>
                              <a:srgbClr val="7F7F7F"/>
                            </a:solidFill>
                          </a:endParaRPr>
                        </a:p>
                      </a:txBody>
                      <a:useSpRect/>
                    </a:txSp>
                  </a:sp>
                  <a:sp>
                    <a:nvSpPr>
                      <a:cNvPr id="6" name="Rectangle 5"/>
                      <a:cNvSpPr/>
                    </a:nvSpPr>
                    <a:spPr>
                      <a:xfrm>
                        <a:off x="41109" y="6469491"/>
                        <a:ext cx="2214214" cy="338554"/>
                      </a:xfrm>
                      <a:prstGeom prst="rect">
                        <a:avLst/>
                      </a:prstGeom>
                    </a:spPr>
                    <a:txSp>
                      <a:txBody>
                        <a:bodyPr wrap="square">
                          <a:spAutoFit/>
                        </a:bodyPr>
                        <a:lstStyle>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a:pPr algn="ctr"/>
                          <a:r>
                            <a:rPr lang="en-US" sz="1100" b="1" dirty="0" smtClean="0">
                              <a:solidFill>
                                <a:srgbClr val="FF0000"/>
                              </a:solidFill>
                              <a:latin typeface="Arial Black" panose="020B0A04020102020204" pitchFamily="34" charset="0"/>
                              <a:cs typeface="Times New Roman"/>
                            </a:rPr>
                            <a:t>B</a:t>
                          </a:r>
                          <a:r>
                            <a:rPr lang="en-US" sz="1100" b="1" dirty="0" smtClean="0">
                              <a:solidFill>
                                <a:srgbClr val="4F4D52"/>
                              </a:solidFill>
                              <a:latin typeface="Arial Black" panose="020B0A04020102020204" pitchFamily="34" charset="0"/>
                              <a:cs typeface="Times New Roman"/>
                            </a:rPr>
                            <a:t>ANGING </a:t>
                          </a:r>
                          <a:r>
                            <a:rPr lang="en-US" sz="1100" b="1" dirty="0" smtClean="0">
                              <a:solidFill>
                                <a:srgbClr val="FF0000"/>
                              </a:solidFill>
                              <a:latin typeface="Arial Black" panose="020B0A04020102020204" pitchFamily="34" charset="0"/>
                              <a:cs typeface="Times New Roman"/>
                            </a:rPr>
                            <a:t>B</a:t>
                          </a:r>
                          <a:r>
                            <a:rPr lang="en-US" sz="1100" b="1" dirty="0" smtClean="0">
                              <a:solidFill>
                                <a:srgbClr val="4F4D52"/>
                              </a:solidFill>
                              <a:latin typeface="Arial Black" panose="020B0A04020102020204" pitchFamily="34" charset="0"/>
                              <a:cs typeface="Times New Roman"/>
                            </a:rPr>
                            <a:t>ODY  </a:t>
                          </a:r>
                          <a:r>
                            <a:rPr lang="en-US" sz="1100" b="1" dirty="0" smtClean="0">
                              <a:solidFill>
                                <a:srgbClr val="FF0000"/>
                              </a:solidFill>
                              <a:latin typeface="Arial Black" panose="020B0A04020102020204" pitchFamily="34" charset="0"/>
                              <a:cs typeface="Times New Roman"/>
                            </a:rPr>
                            <a:t>F</a:t>
                          </a:r>
                          <a:r>
                            <a:rPr lang="en-US" sz="1100" b="1" dirty="0" smtClean="0">
                              <a:solidFill>
                                <a:srgbClr val="4F4D52"/>
                              </a:solidFill>
                              <a:latin typeface="Arial Black" panose="020B0A04020102020204" pitchFamily="34" charset="0"/>
                              <a:cs typeface="Times New Roman"/>
                            </a:rPr>
                            <a:t>ITNESS</a:t>
                          </a:r>
                        </a:p>
                        <a:p>
                          <a:pPr algn="ctr"/>
                          <a:r>
                            <a:rPr lang="en-US" sz="500" b="1" i="1" dirty="0" smtClean="0">
                              <a:solidFill>
                                <a:srgbClr val="7F7F7F"/>
                              </a:solidFill>
                              <a:latin typeface="Arial Black" panose="020B0A04020102020204" pitchFamily="34" charset="0"/>
                              <a:cs typeface="Times New Roman"/>
                            </a:rPr>
                            <a:t>REACH YOUR MAXIMUM PHYSICAL POTENTIALS</a:t>
                          </a:r>
                          <a:endParaRPr lang="en-US" sz="500" b="1" i="1" dirty="0">
                            <a:solidFill>
                              <a:srgbClr val="7F7F7F"/>
                            </a:solidFill>
                            <a:latin typeface="Arial Black" panose="020B0A04020102020204" pitchFamily="34" charset="0"/>
                            <a:cs typeface="Times New Roman"/>
                          </a:endParaRPr>
                        </a:p>
                      </a:txBody>
                      <a:useSpRect/>
                    </a:txSp>
                  </a:sp>
                </lc:lockedCanvas>
              </a:graphicData>
            </a:graphic>
          </wp:anchor>
        </w:drawing>
      </w:r>
      <w:r w:rsidR="002E590E">
        <w:t xml:space="preserve"> A fitness Campaigning Company aspired to transforming New York into the number one city in the world known for housing the most physically fit people. Through hosting incredibly unique and fun fitness movements and campaigns, we aim to inspire people to not only take control of their health and fitness lives, but to continue having fun as they reach their maximum physical potentials.</w:t>
      </w:r>
    </w:p>
    <w:sectPr w:rsidR="002E590E" w:rsidSect="00EF0C19">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2E0424"/>
    <w:rsid w:val="002E0424"/>
    <w:rsid w:val="002E590E"/>
    <w:rsid w:val="006E7B74"/>
    <w:rsid w:val="00CD109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6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Words>
  <Characters>331</Characters>
  <Application>Microsoft Office Word</Application>
  <DocSecurity>0</DocSecurity>
  <Lines>2</Lines>
  <Paragraphs>1</Paragraphs>
  <ScaleCrop>false</ScaleCrop>
  <Company/>
  <LinksUpToDate>false</LinksUpToDate>
  <CharactersWithSpaces>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 Smith</dc:creator>
  <cp:keywords/>
  <cp:lastModifiedBy>RAINYMILLI</cp:lastModifiedBy>
  <cp:revision>3</cp:revision>
  <dcterms:created xsi:type="dcterms:W3CDTF">2014-04-02T17:57:00Z</dcterms:created>
  <dcterms:modified xsi:type="dcterms:W3CDTF">2014-04-07T16:12:00Z</dcterms:modified>
</cp:coreProperties>
</file>